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天津本市用户操作手册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登陆外出经营网上管理系统</w:t>
      </w:r>
    </w:p>
    <w:p>
      <w:pPr>
        <w:pStyle w:val="2"/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登陆天津市税务局官网，点击我要办税访问电子税务局网页。如图：</w:t>
      </w:r>
    </w:p>
    <w:p>
      <w:pPr>
        <w:pStyle w:val="2"/>
      </w:pPr>
      <w:r>
        <w:drawing>
          <wp:inline distT="0" distB="0" distL="114300" distR="114300">
            <wp:extent cx="6634480" cy="3141345"/>
            <wp:effectExtent l="0" t="0" r="13970" b="190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sz w:val="28"/>
          <w:szCs w:val="28"/>
        </w:rPr>
        <w:t>（2）选择登陆方式进入电子税务局，以账号登陆为例。如图：</w:t>
      </w:r>
    </w:p>
    <w:p>
      <w:pPr>
        <w:pStyle w:val="2"/>
        <w:jc w:val="center"/>
      </w:pPr>
      <w:r>
        <w:drawing>
          <wp:inline distT="0" distB="0" distL="0" distR="0">
            <wp:extent cx="6597015" cy="2660650"/>
            <wp:effectExtent l="0" t="0" r="133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97015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（3）登陆后点击我要办税-综合信息报告-税源信息报告-跨区域税源信息报告中的“跨区域涉税事项报告”或“跨区域涉税事项报验和信息反馈”进入外经证系统首页。（推荐使用360浏览器极速模式）如图：</w:t>
      </w:r>
    </w:p>
    <w:p>
      <w:pPr>
        <w:pStyle w:val="2"/>
      </w:pPr>
      <w:r>
        <w:rPr>
          <w:rFonts w:hint="eastAsia"/>
        </w:rPr>
        <w:drawing>
          <wp:inline distT="0" distB="0" distL="114300" distR="114300">
            <wp:extent cx="4485640" cy="8067675"/>
            <wp:effectExtent l="0" t="0" r="10160" b="9525"/>
            <wp:docPr id="7" name="图片 7" descr="f85c0a5e35c4e54aa0942c719563c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85c0a5e35c4e54aa0942c719563c8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5640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both"/>
      </w:pPr>
      <w:r>
        <w:drawing>
          <wp:inline distT="0" distB="0" distL="114300" distR="114300">
            <wp:extent cx="6583045" cy="2247900"/>
            <wp:effectExtent l="0" t="0" r="825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8304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b/>
          <w:bCs/>
          <w:sz w:val="32"/>
          <w:szCs w:val="32"/>
        </w:rPr>
        <w:t>1.跨区域涉税事项报告开具操作流程</w:t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（1）点击左侧菜单中“新办”，进入跨区域涉税事项报告表办理页面。如图：</w:t>
      </w:r>
    </w:p>
    <w:p>
      <w:pPr>
        <w:pStyle w:val="2"/>
        <w:jc w:val="both"/>
      </w:pPr>
      <w:r>
        <w:drawing>
          <wp:inline distT="0" distB="0" distL="114300" distR="114300">
            <wp:extent cx="6555105" cy="2341880"/>
            <wp:effectExtent l="0" t="0" r="17145" b="12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55105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（2）点击绿色“添加”按键，进入跨区域涉税事项报告表开具页面，填入信息点橙色“保存”按键。如图：</w:t>
      </w:r>
    </w:p>
    <w:p>
      <w:pPr>
        <w:pStyle w:val="2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28765" cy="2709545"/>
            <wp:effectExtent l="0" t="0" r="635" b="14605"/>
            <wp:docPr id="33" name="图片 4" descr="15867426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 descr="1586742660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（3）保存成功后点击灰色“上传资料”按键，弹出上传资料窗口，点击蓝色“选取文件”按键上传文件资料，然后点击绿色“上传到服务器”按键完成资料上传。如图：</w:t>
      </w:r>
    </w:p>
    <w:p>
      <w:pPr>
        <w:pStyle w:val="2"/>
        <w:jc w:val="center"/>
      </w:pPr>
      <w:r>
        <w:drawing>
          <wp:inline distT="0" distB="0" distL="114300" distR="114300">
            <wp:extent cx="3524250" cy="2256790"/>
            <wp:effectExtent l="0" t="0" r="0" b="1016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（4）核对信息无误，点击蓝色“提交”按键，完成跨区域涉税事项报告表开具。如图：</w:t>
      </w:r>
    </w:p>
    <w:p>
      <w:pPr>
        <w:pStyle w:val="2"/>
      </w:pPr>
      <w:r>
        <w:drawing>
          <wp:inline distT="0" distB="0" distL="114300" distR="114300">
            <wp:extent cx="6361430" cy="3109595"/>
            <wp:effectExtent l="0" t="0" r="1270" b="14605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1430" cy="310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（5）提示成功后，点击绿色“打印”按键，预览打印跨区域涉税事项报告表。如图：</w:t>
      </w:r>
    </w:p>
    <w:p>
      <w:pPr>
        <w:pStyle w:val="2"/>
        <w:jc w:val="center"/>
      </w:pPr>
      <w:r>
        <w:drawing>
          <wp:inline distT="0" distB="0" distL="114300" distR="114300">
            <wp:extent cx="5057775" cy="4772025"/>
            <wp:effectExtent l="0" t="0" r="9525" b="9525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2.跨区域涉税事项报验登记操作流程</w:t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（1）在“新办”页面点击右侧蓝字“报验”。如图：</w:t>
      </w:r>
    </w:p>
    <w:p>
      <w:pPr>
        <w:pStyle w:val="2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480175" cy="1108710"/>
            <wp:effectExtent l="0" t="0" r="15875" b="15240"/>
            <wp:docPr id="37" name="图片 8" descr="15867429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 descr="1586742925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或者点击左边功能菜单中的“报验”，点击绿色“添加”按键，弹出输入窗口，输入信息点击蓝色“确定”按键。如图：</w:t>
      </w:r>
    </w:p>
    <w:p>
      <w:pPr>
        <w:pStyle w:val="2"/>
        <w:jc w:val="both"/>
      </w:pPr>
      <w:r>
        <w:drawing>
          <wp:inline distT="0" distB="0" distL="114300" distR="114300">
            <wp:extent cx="6619875" cy="2072005"/>
            <wp:effectExtent l="0" t="0" r="9525" b="4445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sz w:val="28"/>
          <w:szCs w:val="28"/>
        </w:rPr>
        <w:t>（2）进入报验登记页面，填写信息，点击橙色“保存”按键。如图：</w:t>
      </w:r>
    </w:p>
    <w:p>
      <w:pPr>
        <w:pStyle w:val="2"/>
      </w:pPr>
      <w:r>
        <w:drawing>
          <wp:inline distT="0" distB="0" distL="114300" distR="114300">
            <wp:extent cx="6631940" cy="2762885"/>
            <wp:effectExtent l="0" t="0" r="16510" b="1841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276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（3）如果跨区域涉税事项报告表开具时已上传资料，报验时无需再次上传，直接点击蓝色“提交”按键，完成报验登记。如图：</w:t>
      </w:r>
    </w:p>
    <w:p>
      <w:pPr>
        <w:pStyle w:val="2"/>
      </w:pPr>
      <w:r>
        <w:drawing>
          <wp:inline distT="0" distB="0" distL="114300" distR="114300">
            <wp:extent cx="6598920" cy="2649220"/>
            <wp:effectExtent l="0" t="0" r="11430" b="17780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9892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（4）报验成功后点击左边菜单的“综合办理”，在此页面可以看到已开具、已报验的信息，同时可以办理申报预缴、反馈、缴销业务，并查看业务状态。如图：</w:t>
      </w:r>
    </w:p>
    <w:p>
      <w:pPr>
        <w:pStyle w:val="2"/>
        <w:jc w:val="both"/>
        <w:rPr>
          <w:sz w:val="28"/>
          <w:szCs w:val="28"/>
        </w:rPr>
      </w:pPr>
      <w:r>
        <w:drawing>
          <wp:inline distT="0" distB="0" distL="114300" distR="114300">
            <wp:extent cx="6576695" cy="2915920"/>
            <wp:effectExtent l="0" t="0" r="14605" b="17780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7669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sz w:val="28"/>
          <w:szCs w:val="28"/>
        </w:rPr>
        <w:t>也可以在“跨省业务”中查看外出经营地在外省的外经证状态，如图：</w:t>
      </w:r>
    </w:p>
    <w:p>
      <w:pPr>
        <w:pStyle w:val="2"/>
      </w:pPr>
      <w:r>
        <w:drawing>
          <wp:inline distT="0" distB="0" distL="114300" distR="114300">
            <wp:extent cx="6497320" cy="2947670"/>
            <wp:effectExtent l="0" t="0" r="17780" b="5080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9732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</w:p>
    <w:p>
      <w:pPr>
        <w:numPr>
          <w:ilvl w:val="0"/>
          <w:numId w:val="2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申报预缴</w:t>
      </w:r>
    </w:p>
    <w:p>
      <w:pPr>
        <w:pStyle w:val="2"/>
        <w:numPr>
          <w:ilvl w:val="0"/>
          <w:numId w:val="0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在“综合办理”页面点击蓝字“查看申报</w:t>
      </w:r>
      <w:r>
        <w:rPr>
          <w:rFonts w:hint="eastAsia"/>
          <w:sz w:val="28"/>
          <w:szCs w:val="28"/>
          <w:lang w:val="en-US" w:eastAsia="zh-CN"/>
        </w:rPr>
        <w:t>和预缴</w:t>
      </w:r>
      <w:r>
        <w:rPr>
          <w:rFonts w:hint="eastAsia"/>
          <w:sz w:val="28"/>
          <w:szCs w:val="28"/>
        </w:rPr>
        <w:t>记录”，进入增值税及附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税、印花税</w:t>
      </w:r>
      <w:r>
        <w:rPr>
          <w:rFonts w:hint="eastAsia"/>
          <w:sz w:val="28"/>
          <w:szCs w:val="28"/>
          <w:lang w:val="en-US" w:eastAsia="zh-CN"/>
        </w:rPr>
        <w:t>申报和</w:t>
      </w:r>
      <w:r>
        <w:rPr>
          <w:rFonts w:hint="eastAsia"/>
          <w:sz w:val="28"/>
          <w:szCs w:val="28"/>
        </w:rPr>
        <w:t>预缴页面。如图：</w:t>
      </w:r>
    </w:p>
    <w:p>
      <w:pPr>
        <w:pStyle w:val="2"/>
        <w:jc w:val="center"/>
      </w:pPr>
      <w:r>
        <w:drawing>
          <wp:inline distT="0" distB="0" distL="114300" distR="114300">
            <wp:extent cx="6640195" cy="3113405"/>
            <wp:effectExtent l="0" t="0" r="1905" b="1079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11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点击右上角绿色“展示历史记录”可以查询主附税合并前和印花税调整前办理的业务，如图：</w:t>
      </w:r>
    </w:p>
    <w:p>
      <w:pPr>
        <w:pStyle w:val="2"/>
        <w:numPr>
          <w:ilvl w:val="0"/>
          <w:numId w:val="0"/>
        </w:numPr>
        <w:jc w:val="center"/>
      </w:pPr>
      <w:r>
        <w:drawing>
          <wp:inline distT="0" distB="0" distL="114300" distR="114300">
            <wp:extent cx="6638925" cy="2610485"/>
            <wp:effectExtent l="0" t="0" r="3175" b="571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6643370" cy="2404110"/>
            <wp:effectExtent l="0" t="0" r="11430" b="889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3.1.增值税及附加税</w:t>
      </w:r>
    </w:p>
    <w:p>
      <w:pPr>
        <w:pStyle w:val="2"/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1）</w:t>
      </w:r>
      <w:r>
        <w:rPr>
          <w:rFonts w:hint="eastAsia"/>
          <w:sz w:val="28"/>
          <w:szCs w:val="28"/>
        </w:rPr>
        <w:t>点击绿色“添加”按键进入增值税及附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</w:t>
      </w:r>
      <w:r>
        <w:rPr>
          <w:rFonts w:hint="eastAsia"/>
          <w:sz w:val="28"/>
          <w:szCs w:val="28"/>
          <w:lang w:val="en-US" w:eastAsia="zh-CN"/>
        </w:rPr>
        <w:t>预缴</w:t>
      </w:r>
      <w:r>
        <w:rPr>
          <w:rFonts w:hint="eastAsia"/>
          <w:sz w:val="28"/>
          <w:szCs w:val="28"/>
        </w:rPr>
        <w:t>填写页面。如图：</w:t>
      </w:r>
    </w:p>
    <w:p>
      <w:pPr>
        <w:pStyle w:val="2"/>
        <w:jc w:val="center"/>
      </w:pPr>
      <w:r>
        <w:drawing>
          <wp:inline distT="0" distB="0" distL="114300" distR="114300">
            <wp:extent cx="6637655" cy="2368550"/>
            <wp:effectExtent l="0" t="0" r="4445" b="635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6643370" cy="2230755"/>
            <wp:effectExtent l="0" t="0" r="11430" b="4445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）填写完毕后，点击橙色“保存”按键。</w:t>
      </w:r>
      <w:r>
        <w:rPr>
          <w:rFonts w:hint="eastAsia"/>
          <w:sz w:val="28"/>
          <w:szCs w:val="28"/>
          <w:lang w:val="en-US" w:eastAsia="zh-CN"/>
        </w:rPr>
        <w:t>注意核对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sz w:val="28"/>
          <w:szCs w:val="28"/>
          <w:lang w:val="en-US" w:eastAsia="zh-CN"/>
        </w:rPr>
        <w:t>是否适用一般计税方法</w:t>
      </w:r>
      <w:r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  <w:lang w:val="en-US" w:eastAsia="zh-CN"/>
        </w:rPr>
        <w:t>和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sz w:val="28"/>
          <w:szCs w:val="28"/>
          <w:lang w:val="en-US" w:eastAsia="zh-CN"/>
        </w:rPr>
        <w:t>金额</w:t>
      </w:r>
      <w:r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  <w:lang w:val="en-US" w:eastAsia="zh-CN"/>
        </w:rPr>
        <w:t>，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638925" cy="2761615"/>
            <wp:effectExtent l="0" t="0" r="3175" b="698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3）</w:t>
      </w:r>
      <w:r>
        <w:rPr>
          <w:rFonts w:hint="eastAsia"/>
          <w:sz w:val="28"/>
          <w:szCs w:val="28"/>
        </w:rPr>
        <w:t>确认无误后再点击蓝色“申报”按键，即可完成增值税及附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</w:t>
      </w:r>
      <w:r>
        <w:rPr>
          <w:rFonts w:hint="eastAsia"/>
          <w:sz w:val="28"/>
          <w:szCs w:val="28"/>
          <w:lang w:val="en-US" w:eastAsia="zh-CN"/>
        </w:rPr>
        <w:t>申报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  <w:lang w:val="en-US" w:eastAsia="zh-CN"/>
        </w:rPr>
        <w:t>如图：</w:t>
      </w:r>
    </w:p>
    <w:p>
      <w:pPr>
        <w:pStyle w:val="2"/>
        <w:numPr>
          <w:ilvl w:val="0"/>
          <w:numId w:val="0"/>
        </w:numPr>
        <w:jc w:val="both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2100" cy="3049270"/>
            <wp:effectExtent l="0" t="0" r="0" b="11430"/>
            <wp:docPr id="25" name="图片 25" descr="16224298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622429879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304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3"/>
        </w:numPr>
        <w:ind w:left="0" w:leftChars="0" w:firstLine="0" w:firstLineChars="0"/>
        <w:jc w:val="both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申报成功后返回申报预缴页面，可以看到增值税及附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</w:t>
      </w:r>
      <w:r>
        <w:rPr>
          <w:rFonts w:hint="eastAsia"/>
          <w:sz w:val="28"/>
          <w:szCs w:val="28"/>
          <w:lang w:val="en-US" w:eastAsia="zh-CN"/>
        </w:rPr>
        <w:t>的</w:t>
      </w:r>
      <w:r>
        <w:rPr>
          <w:rFonts w:hint="eastAsia"/>
          <w:sz w:val="28"/>
          <w:szCs w:val="28"/>
        </w:rPr>
        <w:t>申报状态和</w:t>
      </w:r>
      <w:r>
        <w:rPr>
          <w:rFonts w:hint="eastAsia"/>
          <w:sz w:val="28"/>
          <w:szCs w:val="28"/>
          <w:lang w:val="en-US" w:eastAsia="zh-CN"/>
        </w:rPr>
        <w:t>扣款状态</w:t>
      </w:r>
      <w:r>
        <w:rPr>
          <w:rFonts w:hint="eastAsia"/>
          <w:sz w:val="28"/>
          <w:szCs w:val="28"/>
        </w:rPr>
        <w:t>。如图：</w:t>
      </w:r>
    </w:p>
    <w:p>
      <w:pPr>
        <w:pStyle w:val="2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6640830" cy="2106930"/>
            <wp:effectExtent l="0" t="0" r="1270" b="127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jc w:val="both"/>
      </w:pPr>
    </w:p>
    <w:p>
      <w:pPr>
        <w:numPr>
          <w:ilvl w:val="0"/>
          <w:numId w:val="0"/>
        </w:numPr>
        <w:rPr>
          <w:rFonts w:hint="default"/>
          <w:b/>
          <w:bCs/>
          <w:sz w:val="32"/>
          <w:szCs w:val="32"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3.2.印花税</w:t>
      </w:r>
    </w:p>
    <w:p>
      <w:pPr>
        <w:pStyle w:val="2"/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1）印花税已调整为财行税（印花税）申报预缴，需先采集印花税税源信息，然后再进行申报。</w:t>
      </w:r>
      <w:r>
        <w:rPr>
          <w:rFonts w:hint="eastAsia"/>
          <w:sz w:val="28"/>
          <w:szCs w:val="28"/>
        </w:rPr>
        <w:t>点击绿色“添加”按键进入</w:t>
      </w:r>
      <w:r>
        <w:rPr>
          <w:rFonts w:hint="eastAsia"/>
          <w:sz w:val="28"/>
          <w:szCs w:val="28"/>
          <w:lang w:val="en-US" w:eastAsia="zh-CN"/>
        </w:rPr>
        <w:t>印花税税源信息采集</w:t>
      </w:r>
      <w:r>
        <w:rPr>
          <w:rFonts w:hint="eastAsia"/>
          <w:sz w:val="28"/>
          <w:szCs w:val="28"/>
        </w:rPr>
        <w:t>页面。如图：</w:t>
      </w:r>
    </w:p>
    <w:p>
      <w:pPr>
        <w:pStyle w:val="2"/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643370" cy="2614295"/>
            <wp:effectExtent l="0" t="0" r="11430" b="1905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按次申报，属期默认为当天，</w:t>
      </w:r>
      <w:r>
        <w:rPr>
          <w:rFonts w:hint="eastAsia"/>
          <w:sz w:val="28"/>
          <w:szCs w:val="28"/>
        </w:rPr>
        <w:t>填写完毕后，点击橙色“保存”按键。如图：</w:t>
      </w:r>
    </w:p>
    <w:p>
      <w:pPr>
        <w:pStyle w:val="2"/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642100" cy="2552065"/>
            <wp:effectExtent l="0" t="0" r="0" b="635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确认无误后再点击蓝色“</w:t>
      </w:r>
      <w:r>
        <w:rPr>
          <w:rFonts w:hint="eastAsia"/>
          <w:sz w:val="28"/>
          <w:szCs w:val="28"/>
          <w:lang w:val="en-US" w:eastAsia="zh-CN"/>
        </w:rPr>
        <w:t>采集</w:t>
      </w:r>
      <w:r>
        <w:rPr>
          <w:rFonts w:hint="eastAsia"/>
          <w:sz w:val="28"/>
          <w:szCs w:val="28"/>
        </w:rPr>
        <w:t>”按键，即可完成</w:t>
      </w:r>
      <w:r>
        <w:rPr>
          <w:rFonts w:hint="eastAsia"/>
          <w:sz w:val="28"/>
          <w:szCs w:val="28"/>
          <w:lang w:val="en-US" w:eastAsia="zh-CN"/>
        </w:rPr>
        <w:t>税源信息采集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并自动跳转到印花税申报页面。如图：</w:t>
      </w:r>
    </w:p>
    <w:p>
      <w:pPr>
        <w:pStyle w:val="2"/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645275" cy="2492375"/>
            <wp:effectExtent l="0" t="0" r="9525" b="9525"/>
            <wp:docPr id="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核对</w:t>
      </w:r>
      <w:r>
        <w:rPr>
          <w:rFonts w:hint="eastAsia"/>
          <w:sz w:val="28"/>
          <w:szCs w:val="28"/>
        </w:rPr>
        <w:t>申报</w:t>
      </w:r>
      <w:r>
        <w:rPr>
          <w:rFonts w:hint="eastAsia"/>
          <w:sz w:val="28"/>
          <w:szCs w:val="28"/>
          <w:lang w:val="en-US" w:eastAsia="zh-CN"/>
        </w:rPr>
        <w:t>信息确认无误，</w:t>
      </w:r>
      <w:r>
        <w:rPr>
          <w:rFonts w:hint="eastAsia"/>
          <w:sz w:val="28"/>
          <w:szCs w:val="28"/>
        </w:rPr>
        <w:t>点击蓝色“</w:t>
      </w:r>
      <w:r>
        <w:rPr>
          <w:rFonts w:hint="eastAsia"/>
          <w:sz w:val="28"/>
          <w:szCs w:val="28"/>
          <w:lang w:val="en-US" w:eastAsia="zh-CN"/>
        </w:rPr>
        <w:t>申报</w:t>
      </w:r>
      <w:r>
        <w:rPr>
          <w:rFonts w:hint="eastAsia"/>
          <w:sz w:val="28"/>
          <w:szCs w:val="28"/>
        </w:rPr>
        <w:t>”按键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即可完成</w:t>
      </w:r>
      <w:r>
        <w:rPr>
          <w:rFonts w:hint="eastAsia"/>
          <w:sz w:val="28"/>
          <w:szCs w:val="28"/>
          <w:lang w:val="en-US" w:eastAsia="zh-CN"/>
        </w:rPr>
        <w:t>印花税申报</w:t>
      </w:r>
      <w:r>
        <w:rPr>
          <w:rFonts w:hint="eastAsia"/>
          <w:sz w:val="28"/>
          <w:szCs w:val="28"/>
        </w:rPr>
        <w:t>。如图：</w:t>
      </w:r>
    </w:p>
    <w:p>
      <w:pPr>
        <w:pStyle w:val="2"/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638290" cy="2744470"/>
            <wp:effectExtent l="0" t="0" r="3810" b="11430"/>
            <wp:docPr id="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3"/>
        </w:numPr>
        <w:ind w:left="0" w:leftChars="0" w:firstLine="0" w:firstLineChars="0"/>
        <w:jc w:val="both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申报成功后返回申报预缴页面，可以看到</w:t>
      </w:r>
      <w:r>
        <w:rPr>
          <w:rFonts w:hint="eastAsia"/>
          <w:sz w:val="28"/>
          <w:szCs w:val="28"/>
          <w:lang w:val="en-US" w:eastAsia="zh-CN"/>
        </w:rPr>
        <w:t>印花税的</w:t>
      </w:r>
      <w:r>
        <w:rPr>
          <w:rFonts w:hint="eastAsia"/>
          <w:sz w:val="28"/>
          <w:szCs w:val="28"/>
        </w:rPr>
        <w:t>申报状态和</w:t>
      </w:r>
      <w:r>
        <w:rPr>
          <w:rFonts w:hint="eastAsia"/>
          <w:sz w:val="28"/>
          <w:szCs w:val="28"/>
          <w:lang w:val="en-US" w:eastAsia="zh-CN"/>
        </w:rPr>
        <w:t>扣款状态</w:t>
      </w:r>
      <w:r>
        <w:rPr>
          <w:rFonts w:hint="eastAsia"/>
          <w:sz w:val="28"/>
          <w:szCs w:val="28"/>
        </w:rPr>
        <w:t>。如图：</w:t>
      </w:r>
    </w:p>
    <w:p>
      <w:pPr>
        <w:pStyle w:val="2"/>
        <w:numPr>
          <w:ilvl w:val="0"/>
          <w:numId w:val="0"/>
        </w:numPr>
        <w:ind w:left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637655" cy="1280160"/>
            <wp:effectExtent l="0" t="0" r="4445" b="2540"/>
            <wp:docPr id="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b/>
          <w:bCs/>
          <w:sz w:val="32"/>
          <w:szCs w:val="32"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3.3.缴款和打印凭证</w:t>
      </w:r>
    </w:p>
    <w:p>
      <w:pPr>
        <w:pStyle w:val="2"/>
        <w:numPr>
          <w:ilvl w:val="0"/>
          <w:numId w:val="0"/>
        </w:numPr>
        <w:ind w:left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1）</w:t>
      </w:r>
      <w:r>
        <w:rPr>
          <w:rFonts w:hint="eastAsia"/>
          <w:sz w:val="28"/>
          <w:szCs w:val="28"/>
        </w:rPr>
        <w:t>点击增值税及附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税、印花税扣款状态下面的蓝字“尚未扣款”，出现选择扣款方式窗口，根据需要自行选择扣款方式。（银联网站为跳转银联支付网页进行支付；三方协议需纳税人先签订三方协议并且为验证通过状态才能使用；</w:t>
      </w:r>
      <w:r>
        <w:rPr>
          <w:rFonts w:hint="eastAsia"/>
          <w:sz w:val="28"/>
          <w:szCs w:val="28"/>
          <w:lang w:val="en-US" w:eastAsia="zh-CN"/>
        </w:rPr>
        <w:t>缴款平台包含三方协议缴款、通用二维码缴款、柜台缴款</w:t>
      </w:r>
      <w:r>
        <w:rPr>
          <w:rFonts w:hint="eastAsia"/>
          <w:sz w:val="28"/>
          <w:szCs w:val="28"/>
        </w:rPr>
        <w:t>）如图：</w:t>
      </w:r>
    </w:p>
    <w:p>
      <w:pPr>
        <w:pStyle w:val="2"/>
        <w:numPr>
          <w:ilvl w:val="0"/>
          <w:numId w:val="0"/>
        </w:numPr>
        <w:ind w:leftChars="0"/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3981450" cy="1885950"/>
            <wp:effectExtent l="0" t="0" r="6350" b="6350"/>
            <wp:docPr id="51" name="图片 51" descr="16276098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627609878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Theme="minorEastAsia"/>
          <w:lang w:eastAsia="zh-CN"/>
        </w:rPr>
      </w:pP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选择银联网站后，点击“选好了”，然后点击蓝字“开始扣款流程”，会跳转到银联支付网页。如图：</w:t>
      </w:r>
    </w:p>
    <w:p>
      <w:pPr>
        <w:pStyle w:val="2"/>
        <w:jc w:val="center"/>
      </w:pPr>
      <w:r>
        <w:drawing>
          <wp:inline distT="0" distB="0" distL="114300" distR="114300">
            <wp:extent cx="4248150" cy="1905000"/>
            <wp:effectExtent l="0" t="0" r="6350" b="0"/>
            <wp:docPr id="5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选择三方协议后，点击“选好了”，会出提示，点击蓝色“确定”进行缴款。如图：</w:t>
      </w:r>
    </w:p>
    <w:p>
      <w:pPr>
        <w:pStyle w:val="2"/>
        <w:jc w:val="center"/>
      </w:pPr>
      <w:r>
        <w:drawing>
          <wp:inline distT="0" distB="0" distL="114300" distR="114300">
            <wp:extent cx="3600450" cy="1136650"/>
            <wp:effectExtent l="0" t="0" r="6350" b="6350"/>
            <wp:docPr id="5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选择</w:t>
      </w:r>
      <w:r>
        <w:rPr>
          <w:rFonts w:hint="eastAsia"/>
          <w:sz w:val="28"/>
          <w:szCs w:val="28"/>
          <w:lang w:eastAsia="zh-CN"/>
        </w:rPr>
        <w:t>缴款平台</w:t>
      </w:r>
      <w:r>
        <w:rPr>
          <w:rFonts w:hint="eastAsia"/>
          <w:sz w:val="28"/>
          <w:szCs w:val="28"/>
        </w:rPr>
        <w:t>后，点击“选好了”，</w:t>
      </w:r>
      <w:r>
        <w:rPr>
          <w:rFonts w:hint="eastAsia"/>
          <w:sz w:val="28"/>
          <w:szCs w:val="28"/>
          <w:lang w:eastAsia="zh-CN"/>
        </w:rPr>
        <w:t>点击“开始扣款流程”，跳转到缴款页面。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jc w:val="center"/>
      </w:pPr>
      <w:r>
        <w:drawing>
          <wp:inline distT="0" distB="0" distL="114300" distR="114300">
            <wp:extent cx="3629025" cy="2073910"/>
            <wp:effectExtent l="0" t="0" r="317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</w:p>
    <w:p>
      <w:pPr>
        <w:pStyle w:val="2"/>
        <w:jc w:val="center"/>
      </w:pPr>
    </w:p>
    <w:p>
      <w:pPr>
        <w:pStyle w:val="2"/>
        <w:jc w:val="center"/>
      </w:pPr>
    </w:p>
    <w:p>
      <w:pPr>
        <w:pStyle w:val="2"/>
        <w:jc w:val="center"/>
      </w:pPr>
    </w:p>
    <w:p>
      <w:pPr>
        <w:pStyle w:val="2"/>
        <w:jc w:val="center"/>
      </w:pPr>
    </w:p>
    <w:p>
      <w:pPr>
        <w:pStyle w:val="2"/>
        <w:jc w:val="center"/>
      </w:pP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）扣款成功后增值税及附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税、印花税扣款状态会变成已扣款。如图：</w:t>
      </w:r>
    </w:p>
    <w:p>
      <w:pPr>
        <w:pStyle w:val="2"/>
        <w:jc w:val="center"/>
      </w:pPr>
      <w:r>
        <w:drawing>
          <wp:inline distT="0" distB="0" distL="114300" distR="114300">
            <wp:extent cx="6644005" cy="3556635"/>
            <wp:effectExtent l="0" t="0" r="10795" b="12065"/>
            <wp:docPr id="5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3）</w:t>
      </w:r>
      <w:r>
        <w:rPr>
          <w:rFonts w:hint="eastAsia"/>
          <w:sz w:val="28"/>
          <w:szCs w:val="28"/>
        </w:rPr>
        <w:t>点击扣款状态下的蓝字“已扣款”，</w:t>
      </w:r>
      <w:r>
        <w:rPr>
          <w:rFonts w:hint="eastAsia"/>
          <w:sz w:val="28"/>
          <w:szCs w:val="28"/>
          <w:lang w:val="en-US" w:eastAsia="zh-CN"/>
        </w:rPr>
        <w:t>选择</w:t>
      </w:r>
      <w:r>
        <w:rPr>
          <w:rFonts w:hint="eastAsia"/>
          <w:sz w:val="28"/>
          <w:szCs w:val="28"/>
        </w:rPr>
        <w:t>电子缴款凭证</w:t>
      </w:r>
      <w:r>
        <w:rPr>
          <w:rFonts w:hint="eastAsia"/>
          <w:sz w:val="28"/>
          <w:szCs w:val="28"/>
          <w:lang w:val="en-US" w:eastAsia="zh-CN"/>
        </w:rPr>
        <w:t>或完税证明进行</w:t>
      </w:r>
      <w:r>
        <w:rPr>
          <w:rFonts w:hint="eastAsia"/>
          <w:sz w:val="28"/>
          <w:szCs w:val="28"/>
        </w:rPr>
        <w:t>预览</w:t>
      </w:r>
      <w:r>
        <w:rPr>
          <w:rFonts w:hint="eastAsia"/>
          <w:sz w:val="28"/>
          <w:szCs w:val="28"/>
          <w:lang w:val="en-US" w:eastAsia="zh-CN"/>
        </w:rPr>
        <w:t>和</w:t>
      </w:r>
      <w:r>
        <w:rPr>
          <w:rFonts w:hint="eastAsia"/>
          <w:sz w:val="28"/>
          <w:szCs w:val="28"/>
        </w:rPr>
        <w:t>打印。如图：</w:t>
      </w:r>
    </w:p>
    <w:p>
      <w:pPr>
        <w:pStyle w:val="2"/>
        <w:numPr>
          <w:ilvl w:val="0"/>
          <w:numId w:val="0"/>
        </w:numPr>
        <w:ind w:leftChars="0"/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987290" cy="2207260"/>
            <wp:effectExtent l="0" t="0" r="3810" b="2540"/>
            <wp:docPr id="3" name="图片 3" descr="163227285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32272859(1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  <w:r>
        <w:drawing>
          <wp:inline distT="0" distB="0" distL="114300" distR="114300">
            <wp:extent cx="6642735" cy="4227830"/>
            <wp:effectExtent l="0" t="0" r="12065" b="1270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422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  <w:r>
        <w:drawing>
          <wp:inline distT="0" distB="0" distL="114300" distR="114300">
            <wp:extent cx="6642100" cy="4150360"/>
            <wp:effectExtent l="0" t="0" r="0" b="254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</w:p>
    <w:p>
      <w:pPr>
        <w:pStyle w:val="2"/>
        <w:jc w:val="center"/>
      </w:pPr>
    </w:p>
    <w:p>
      <w:pPr>
        <w:numPr>
          <w:ilvl w:val="0"/>
          <w:numId w:val="2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eastAsia="zh-CN"/>
        </w:rPr>
        <w:t>申报撤销</w:t>
      </w:r>
      <w:r>
        <w:rPr>
          <w:rFonts w:hint="eastAsia"/>
          <w:b/>
          <w:bCs/>
          <w:sz w:val="32"/>
          <w:szCs w:val="32"/>
          <w:lang w:val="en-US" w:eastAsia="zh-CN"/>
        </w:rPr>
        <w:t>和税源信息撤销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4.1.增值税及附加税</w:t>
      </w:r>
    </w:p>
    <w:p>
      <w:pPr>
        <w:pStyle w:val="2"/>
        <w:numPr>
          <w:ilvl w:val="0"/>
          <w:numId w:val="4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如果申报信息有误，可以进行申报撤销操作（</w:t>
      </w:r>
      <w:r>
        <w:rPr>
          <w:rFonts w:hint="eastAsia"/>
          <w:color w:val="FF0000"/>
          <w:sz w:val="28"/>
          <w:szCs w:val="28"/>
          <w:lang w:eastAsia="zh-CN"/>
        </w:rPr>
        <w:t>不支持已缴纳税款和进行过更正申报的申报信息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  <w:lang w:eastAsia="zh-CN"/>
        </w:rPr>
        <w:t>申报预缴页面点击橙色“</w:t>
      </w:r>
      <w:r>
        <w:rPr>
          <w:rFonts w:hint="eastAsia"/>
          <w:sz w:val="28"/>
          <w:szCs w:val="28"/>
          <w:lang w:val="en-US" w:eastAsia="zh-CN"/>
        </w:rPr>
        <w:t>X</w:t>
      </w:r>
      <w:r>
        <w:rPr>
          <w:rFonts w:hint="eastAsia"/>
          <w:sz w:val="28"/>
          <w:szCs w:val="28"/>
          <w:lang w:eastAsia="zh-CN"/>
        </w:rPr>
        <w:t>”按键，出现撤销申报窗口，</w:t>
      </w:r>
      <w:r>
        <w:rPr>
          <w:rFonts w:hint="eastAsia"/>
          <w:sz w:val="28"/>
          <w:szCs w:val="28"/>
          <w:lang w:val="en-US" w:eastAsia="zh-CN"/>
        </w:rPr>
        <w:t>点击蓝色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  <w:lang w:val="en-US" w:eastAsia="zh-CN"/>
        </w:rPr>
        <w:t>确定</w:t>
      </w:r>
      <w:r>
        <w:rPr>
          <w:rFonts w:hint="eastAsia"/>
          <w:sz w:val="28"/>
          <w:szCs w:val="28"/>
          <w:lang w:eastAsia="zh-CN"/>
        </w:rPr>
        <w:t>”。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numPr>
          <w:ilvl w:val="0"/>
          <w:numId w:val="0"/>
        </w:numPr>
        <w:jc w:val="center"/>
      </w:pPr>
      <w:r>
        <w:drawing>
          <wp:inline distT="0" distB="0" distL="114300" distR="114300">
            <wp:extent cx="6640830" cy="1972310"/>
            <wp:effectExtent l="0" t="0" r="1270" b="8890"/>
            <wp:docPr id="3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4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申报撤销成功后，</w:t>
      </w:r>
      <w:r>
        <w:rPr>
          <w:rFonts w:hint="eastAsia"/>
          <w:sz w:val="28"/>
          <w:szCs w:val="28"/>
        </w:rPr>
        <w:t>增值税及附</w:t>
      </w:r>
      <w:r>
        <w:rPr>
          <w:rFonts w:hint="eastAsia"/>
          <w:sz w:val="28"/>
          <w:szCs w:val="28"/>
          <w:lang w:val="en-US" w:eastAsia="zh-CN"/>
        </w:rPr>
        <w:t>加</w:t>
      </w:r>
      <w:r>
        <w:rPr>
          <w:rFonts w:hint="eastAsia"/>
          <w:sz w:val="28"/>
          <w:szCs w:val="28"/>
        </w:rPr>
        <w:t>税</w:t>
      </w:r>
      <w:r>
        <w:rPr>
          <w:rFonts w:hint="eastAsia"/>
          <w:sz w:val="28"/>
          <w:szCs w:val="28"/>
          <w:lang w:eastAsia="zh-CN"/>
        </w:rPr>
        <w:t>申报结果</w:t>
      </w:r>
      <w:r>
        <w:rPr>
          <w:rFonts w:hint="eastAsia"/>
          <w:sz w:val="28"/>
          <w:szCs w:val="28"/>
        </w:rPr>
        <w:t>会变成</w:t>
      </w:r>
      <w:r>
        <w:rPr>
          <w:rFonts w:hint="eastAsia"/>
          <w:sz w:val="28"/>
          <w:szCs w:val="28"/>
          <w:lang w:eastAsia="zh-CN"/>
        </w:rPr>
        <w:t>申报作废（</w:t>
      </w:r>
      <w:r>
        <w:rPr>
          <w:rFonts w:hint="eastAsia"/>
          <w:color w:val="FF0000"/>
          <w:sz w:val="28"/>
          <w:szCs w:val="28"/>
          <w:lang w:eastAsia="zh-CN"/>
        </w:rPr>
        <w:t>作废后的申报信息不能进行修改和申报</w:t>
      </w:r>
      <w:r>
        <w:rPr>
          <w:rFonts w:hint="eastAsia"/>
          <w:sz w:val="28"/>
          <w:szCs w:val="28"/>
          <w:lang w:eastAsia="zh-CN"/>
        </w:rPr>
        <w:t>），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widowControl w:val="0"/>
        <w:numPr>
          <w:ilvl w:val="0"/>
          <w:numId w:val="0"/>
        </w:numPr>
        <w:spacing w:after="120"/>
        <w:jc w:val="center"/>
      </w:pPr>
      <w:r>
        <w:drawing>
          <wp:inline distT="0" distB="0" distL="114300" distR="114300">
            <wp:extent cx="6638290" cy="1403985"/>
            <wp:effectExtent l="0" t="0" r="3810" b="5715"/>
            <wp:docPr id="5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widowControl w:val="0"/>
        <w:numPr>
          <w:ilvl w:val="0"/>
          <w:numId w:val="0"/>
        </w:numPr>
        <w:spacing w:after="120"/>
        <w:jc w:val="both"/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4.2.印花税</w:t>
      </w:r>
    </w:p>
    <w:p>
      <w:pPr>
        <w:pStyle w:val="2"/>
        <w:numPr>
          <w:ilvl w:val="0"/>
          <w:numId w:val="0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1）</w:t>
      </w:r>
      <w:r>
        <w:rPr>
          <w:rFonts w:hint="eastAsia"/>
          <w:sz w:val="28"/>
          <w:szCs w:val="28"/>
          <w:lang w:eastAsia="zh-CN"/>
        </w:rPr>
        <w:t>如果申报信息</w:t>
      </w:r>
      <w:r>
        <w:rPr>
          <w:rFonts w:hint="eastAsia"/>
          <w:sz w:val="28"/>
          <w:szCs w:val="28"/>
          <w:lang w:val="en-US" w:eastAsia="zh-CN"/>
        </w:rPr>
        <w:t>和税源信息</w:t>
      </w:r>
      <w:r>
        <w:rPr>
          <w:rFonts w:hint="eastAsia"/>
          <w:sz w:val="28"/>
          <w:szCs w:val="28"/>
          <w:lang w:eastAsia="zh-CN"/>
        </w:rPr>
        <w:t>有误，可以进行申报撤销</w:t>
      </w:r>
      <w:r>
        <w:rPr>
          <w:rFonts w:hint="eastAsia"/>
          <w:sz w:val="28"/>
          <w:szCs w:val="28"/>
          <w:lang w:val="en-US" w:eastAsia="zh-CN"/>
        </w:rPr>
        <w:t>和税源信息撤销</w:t>
      </w:r>
      <w:r>
        <w:rPr>
          <w:rFonts w:hint="eastAsia"/>
          <w:sz w:val="28"/>
          <w:szCs w:val="28"/>
          <w:lang w:eastAsia="zh-CN"/>
        </w:rPr>
        <w:t>操作（</w:t>
      </w:r>
      <w:r>
        <w:rPr>
          <w:rFonts w:hint="eastAsia"/>
          <w:color w:val="FF0000"/>
          <w:sz w:val="28"/>
          <w:szCs w:val="28"/>
          <w:lang w:eastAsia="zh-CN"/>
        </w:rPr>
        <w:t>不支持已缴纳税款和进行过更正申报、更正</w:t>
      </w:r>
      <w:r>
        <w:rPr>
          <w:rFonts w:hint="eastAsia"/>
          <w:color w:val="FF0000"/>
          <w:sz w:val="28"/>
          <w:szCs w:val="28"/>
          <w:lang w:val="en-US" w:eastAsia="zh-CN"/>
        </w:rPr>
        <w:t>税源信息</w:t>
      </w:r>
      <w:r>
        <w:rPr>
          <w:rFonts w:hint="eastAsia"/>
          <w:color w:val="FF0000"/>
          <w:sz w:val="28"/>
          <w:szCs w:val="28"/>
          <w:lang w:eastAsia="zh-CN"/>
        </w:rPr>
        <w:t>的</w:t>
      </w:r>
      <w:r>
        <w:rPr>
          <w:rFonts w:hint="eastAsia"/>
          <w:color w:val="FF0000"/>
          <w:sz w:val="28"/>
          <w:szCs w:val="28"/>
          <w:lang w:val="en-US" w:eastAsia="zh-CN"/>
        </w:rPr>
        <w:t>数据。撤销申报后，需将税源信息一并撤销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  <w:lang w:eastAsia="zh-CN"/>
        </w:rPr>
        <w:t>申报预缴页面点击橙色“</w:t>
      </w:r>
      <w:r>
        <w:rPr>
          <w:rFonts w:hint="eastAsia"/>
          <w:sz w:val="28"/>
          <w:szCs w:val="28"/>
          <w:lang w:val="en-US" w:eastAsia="zh-CN"/>
        </w:rPr>
        <w:t>X</w:t>
      </w:r>
      <w:r>
        <w:rPr>
          <w:rFonts w:hint="eastAsia"/>
          <w:sz w:val="28"/>
          <w:szCs w:val="28"/>
          <w:lang w:eastAsia="zh-CN"/>
        </w:rPr>
        <w:t>”按键，出现撤销申报窗口，</w:t>
      </w:r>
      <w:r>
        <w:rPr>
          <w:rFonts w:hint="eastAsia"/>
          <w:sz w:val="28"/>
          <w:szCs w:val="28"/>
          <w:lang w:val="en-US" w:eastAsia="zh-CN"/>
        </w:rPr>
        <w:t>点击蓝色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  <w:lang w:val="en-US" w:eastAsia="zh-CN"/>
        </w:rPr>
        <w:t>确定</w:t>
      </w:r>
      <w:r>
        <w:rPr>
          <w:rFonts w:hint="eastAsia"/>
          <w:sz w:val="28"/>
          <w:szCs w:val="28"/>
          <w:lang w:eastAsia="zh-CN"/>
        </w:rPr>
        <w:t>”。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numPr>
          <w:ilvl w:val="0"/>
          <w:numId w:val="0"/>
        </w:numPr>
        <w:jc w:val="center"/>
        <w:rPr>
          <w:rFonts w:hint="eastAsia"/>
          <w:sz w:val="28"/>
          <w:szCs w:val="28"/>
        </w:rPr>
      </w:pPr>
    </w:p>
    <w:p>
      <w:pPr>
        <w:pStyle w:val="2"/>
      </w:pPr>
      <w:r>
        <w:drawing>
          <wp:inline distT="0" distB="0" distL="114300" distR="114300">
            <wp:extent cx="6640195" cy="1322070"/>
            <wp:effectExtent l="0" t="0" r="1905" b="11430"/>
            <wp:docPr id="6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2）</w:t>
      </w:r>
      <w:r>
        <w:rPr>
          <w:rFonts w:hint="eastAsia"/>
          <w:sz w:val="28"/>
          <w:szCs w:val="28"/>
          <w:lang w:eastAsia="zh-CN"/>
        </w:rPr>
        <w:t>申报撤销成功后，</w:t>
      </w:r>
      <w:r>
        <w:rPr>
          <w:rFonts w:hint="eastAsia"/>
          <w:sz w:val="28"/>
          <w:szCs w:val="28"/>
          <w:lang w:val="en-US" w:eastAsia="zh-CN"/>
        </w:rPr>
        <w:t>印花税</w:t>
      </w:r>
      <w:r>
        <w:rPr>
          <w:rFonts w:hint="eastAsia"/>
          <w:sz w:val="28"/>
          <w:szCs w:val="28"/>
          <w:lang w:eastAsia="zh-CN"/>
        </w:rPr>
        <w:t>申报结果</w:t>
      </w:r>
      <w:r>
        <w:rPr>
          <w:rFonts w:hint="eastAsia"/>
          <w:sz w:val="28"/>
          <w:szCs w:val="28"/>
        </w:rPr>
        <w:t>会变成</w:t>
      </w:r>
      <w:r>
        <w:rPr>
          <w:rFonts w:hint="eastAsia"/>
          <w:sz w:val="28"/>
          <w:szCs w:val="28"/>
          <w:lang w:eastAsia="zh-CN"/>
        </w:rPr>
        <w:t>申报作废。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widowControl w:val="0"/>
        <w:numPr>
          <w:ilvl w:val="0"/>
          <w:numId w:val="0"/>
        </w:numPr>
        <w:spacing w:after="120"/>
        <w:jc w:val="both"/>
      </w:pPr>
      <w:r>
        <w:drawing>
          <wp:inline distT="0" distB="0" distL="114300" distR="114300">
            <wp:extent cx="6643370" cy="2045335"/>
            <wp:effectExtent l="0" t="0" r="11430" b="12065"/>
            <wp:docPr id="6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3）然后</w:t>
      </w:r>
      <w:r>
        <w:rPr>
          <w:rFonts w:hint="eastAsia"/>
          <w:sz w:val="28"/>
          <w:szCs w:val="28"/>
          <w:lang w:eastAsia="zh-CN"/>
        </w:rPr>
        <w:t>点击</w:t>
      </w:r>
      <w:r>
        <w:rPr>
          <w:rFonts w:hint="eastAsia"/>
          <w:sz w:val="28"/>
          <w:szCs w:val="28"/>
          <w:lang w:val="en-US" w:eastAsia="zh-CN"/>
        </w:rPr>
        <w:t>灰</w:t>
      </w:r>
      <w:r>
        <w:rPr>
          <w:rFonts w:hint="eastAsia"/>
          <w:sz w:val="28"/>
          <w:szCs w:val="28"/>
          <w:lang w:eastAsia="zh-CN"/>
        </w:rPr>
        <w:t>色“</w:t>
      </w:r>
      <w:r>
        <w:rPr>
          <w:rFonts w:hint="eastAsia"/>
          <w:sz w:val="28"/>
          <w:szCs w:val="28"/>
          <w:lang w:val="en-US" w:eastAsia="zh-CN"/>
        </w:rPr>
        <w:t>X</w:t>
      </w:r>
      <w:r>
        <w:rPr>
          <w:rFonts w:hint="eastAsia"/>
          <w:sz w:val="28"/>
          <w:szCs w:val="28"/>
          <w:lang w:eastAsia="zh-CN"/>
        </w:rPr>
        <w:t>”按键，出现撤销</w:t>
      </w:r>
      <w:r>
        <w:rPr>
          <w:rFonts w:hint="eastAsia"/>
          <w:sz w:val="28"/>
          <w:szCs w:val="28"/>
          <w:lang w:val="en-US" w:eastAsia="zh-CN"/>
        </w:rPr>
        <w:t>税源信息</w:t>
      </w:r>
      <w:r>
        <w:rPr>
          <w:rFonts w:hint="eastAsia"/>
          <w:sz w:val="28"/>
          <w:szCs w:val="28"/>
          <w:lang w:eastAsia="zh-CN"/>
        </w:rPr>
        <w:t>窗口，</w:t>
      </w:r>
      <w:r>
        <w:rPr>
          <w:rFonts w:hint="eastAsia"/>
          <w:sz w:val="28"/>
          <w:szCs w:val="28"/>
          <w:lang w:val="en-US" w:eastAsia="zh-CN"/>
        </w:rPr>
        <w:t>点击蓝色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  <w:lang w:val="en-US" w:eastAsia="zh-CN"/>
        </w:rPr>
        <w:t>确定</w:t>
      </w:r>
      <w:r>
        <w:rPr>
          <w:rFonts w:hint="eastAsia"/>
          <w:sz w:val="28"/>
          <w:szCs w:val="28"/>
          <w:lang w:eastAsia="zh-CN"/>
        </w:rPr>
        <w:t>”。</w:t>
      </w:r>
      <w:r>
        <w:rPr>
          <w:rFonts w:hint="eastAsia"/>
          <w:sz w:val="28"/>
          <w:szCs w:val="28"/>
        </w:rPr>
        <w:t>如图：</w:t>
      </w:r>
    </w:p>
    <w:p>
      <w:pPr>
        <w:pStyle w:val="2"/>
        <w:widowControl w:val="0"/>
        <w:numPr>
          <w:ilvl w:val="0"/>
          <w:numId w:val="0"/>
        </w:numPr>
        <w:spacing w:after="120"/>
        <w:jc w:val="both"/>
      </w:pPr>
      <w:r>
        <w:drawing>
          <wp:inline distT="0" distB="0" distL="114300" distR="114300">
            <wp:extent cx="6644640" cy="1388745"/>
            <wp:effectExtent l="0" t="0" r="10160" b="8255"/>
            <wp:docPr id="6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4）税源信息</w:t>
      </w:r>
      <w:r>
        <w:rPr>
          <w:rFonts w:hint="eastAsia"/>
          <w:sz w:val="28"/>
          <w:szCs w:val="28"/>
          <w:lang w:eastAsia="zh-CN"/>
        </w:rPr>
        <w:t>撤销成功后，</w:t>
      </w:r>
      <w:r>
        <w:rPr>
          <w:rFonts w:hint="eastAsia"/>
          <w:sz w:val="28"/>
          <w:szCs w:val="28"/>
          <w:lang w:val="en-US" w:eastAsia="zh-CN"/>
        </w:rPr>
        <w:t>印花税税源信息</w:t>
      </w:r>
      <w:r>
        <w:rPr>
          <w:rFonts w:hint="eastAsia"/>
          <w:sz w:val="28"/>
          <w:szCs w:val="28"/>
          <w:lang w:eastAsia="zh-CN"/>
        </w:rPr>
        <w:t>结果会变成</w:t>
      </w:r>
      <w:r>
        <w:rPr>
          <w:rFonts w:hint="eastAsia"/>
          <w:sz w:val="28"/>
          <w:szCs w:val="28"/>
          <w:lang w:val="en-US" w:eastAsia="zh-CN"/>
        </w:rPr>
        <w:t>采集作废</w:t>
      </w:r>
      <w:r>
        <w:rPr>
          <w:rFonts w:hint="eastAsia"/>
          <w:sz w:val="28"/>
          <w:szCs w:val="28"/>
          <w:lang w:eastAsia="zh-CN"/>
        </w:rPr>
        <w:t>。如图：</w:t>
      </w:r>
    </w:p>
    <w:p>
      <w:pPr>
        <w:pStyle w:val="2"/>
        <w:widowControl w:val="0"/>
        <w:numPr>
          <w:ilvl w:val="0"/>
          <w:numId w:val="0"/>
        </w:numPr>
        <w:spacing w:after="120"/>
        <w:ind w:leftChars="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6637655" cy="2451735"/>
            <wp:effectExtent l="0" t="0" r="4445" b="12065"/>
            <wp:docPr id="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245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跨区域涉税事项信息反馈</w:t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（1）点击左边菜单的“综合办理”，在页面中找到需要反馈的管理证明编号，点击对应的蓝字“未完成反馈”，进入反馈页面。如图：</w:t>
      </w:r>
    </w:p>
    <w:p>
      <w:pPr>
        <w:pStyle w:val="2"/>
      </w:pPr>
      <w:r>
        <w:drawing>
          <wp:inline distT="0" distB="0" distL="114300" distR="114300">
            <wp:extent cx="6714490" cy="2884170"/>
            <wp:effectExtent l="0" t="0" r="3810" b="11430"/>
            <wp:docPr id="6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714490" cy="28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（2）填写经营地涉税事项反馈表，点击橙色“保存”按键。如图：</w:t>
      </w:r>
    </w:p>
    <w:p>
      <w:pPr>
        <w:pStyle w:val="2"/>
      </w:pPr>
      <w:r>
        <w:drawing>
          <wp:inline distT="0" distB="0" distL="114300" distR="114300">
            <wp:extent cx="6620510" cy="2955290"/>
            <wp:effectExtent l="0" t="0" r="8890" b="16510"/>
            <wp:docPr id="6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（3）保存成功后核对无误点击蓝色“提交”按键。税务局工作人员审核通过后，反馈结果显示为成功，审核不通过反馈结果显示为税务局工作人员填写的原因。如图：</w:t>
      </w:r>
    </w:p>
    <w:p>
      <w:pPr>
        <w:pStyle w:val="2"/>
      </w:pPr>
      <w:r>
        <w:drawing>
          <wp:inline distT="0" distB="0" distL="114300" distR="114300">
            <wp:extent cx="6620510" cy="3388995"/>
            <wp:effectExtent l="0" t="0" r="8890" b="1905"/>
            <wp:docPr id="6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33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（4）审核通过后可以点击绿色“打印”按键，预览打印《经营地涉税事项反馈表》。如图：</w:t>
      </w:r>
    </w:p>
    <w:p>
      <w:pPr>
        <w:pStyle w:val="2"/>
        <w:jc w:val="center"/>
      </w:pPr>
      <w:r>
        <w:drawing>
          <wp:inline distT="0" distB="0" distL="114300" distR="114300">
            <wp:extent cx="5219700" cy="4961890"/>
            <wp:effectExtent l="0" t="0" r="0" b="3810"/>
            <wp:docPr id="6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96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（5）在“综合办理”页面看到反馈和缴销栏已显示日期，表示跨区域涉税事项报告表已核销。如图：</w:t>
      </w:r>
    </w:p>
    <w:p>
      <w:pPr>
        <w:pStyle w:val="2"/>
      </w:pPr>
      <w:r>
        <w:drawing>
          <wp:inline distT="0" distB="0" distL="114300" distR="114300">
            <wp:extent cx="6577965" cy="1858010"/>
            <wp:effectExtent l="0" t="0" r="13335" b="8890"/>
            <wp:docPr id="6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3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57796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numPr>
          <w:ilvl w:val="0"/>
          <w:numId w:val="2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跨区域涉税事项报验登记缴销</w:t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1）在“综合办理”或“跨省业务”页面点击蓝字“未完成缴销”，进入缴销页面。正常情况下跨区涉税事项报告表反馈后会自动核销，无需再进行缴销操作；外出经营活动管理证明反馈后需要进行缴销操作。如图：</w:t>
      </w:r>
    </w:p>
    <w:p>
      <w:pPr>
        <w:pStyle w:val="2"/>
      </w:pPr>
      <w:r>
        <w:drawing>
          <wp:inline distT="0" distB="0" distL="114300" distR="114300">
            <wp:extent cx="6638290" cy="2978785"/>
            <wp:effectExtent l="0" t="0" r="10160" b="12065"/>
            <wp:docPr id="7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6654165" cy="637540"/>
            <wp:effectExtent l="0" t="0" r="1333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54165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（2）显示表单后，点击橙色:“保存”按键。如图：</w:t>
      </w:r>
    </w:p>
    <w:p>
      <w:pPr>
        <w:pStyle w:val="2"/>
      </w:pPr>
      <w:r>
        <w:drawing>
          <wp:inline distT="0" distB="0" distL="114300" distR="114300">
            <wp:extent cx="6617335" cy="1271905"/>
            <wp:effectExtent l="0" t="0" r="12065" b="4445"/>
            <wp:docPr id="6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17335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（3）保存成功后点击灰色“上传资料”按键，弹出上传资料窗口，点击蓝色“选取文件”按键上传完税凭证，然后点击绿色“上传到服务器”按键完成资料上传。如图：</w:t>
      </w:r>
    </w:p>
    <w:p>
      <w:pPr>
        <w:pStyle w:val="2"/>
        <w:jc w:val="center"/>
      </w:pPr>
      <w:r>
        <w:drawing>
          <wp:inline distT="0" distB="0" distL="114300" distR="114300">
            <wp:extent cx="2819400" cy="1562100"/>
            <wp:effectExtent l="0" t="0" r="0" b="0"/>
            <wp:docPr id="7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（4）资料上传成功后点击蓝色“提交”按键，会弹出提示，点击蓝色“确定”按键，完成缴销。如图：</w:t>
      </w:r>
    </w:p>
    <w:p>
      <w:pPr>
        <w:pStyle w:val="2"/>
      </w:pPr>
      <w:r>
        <w:drawing>
          <wp:inline distT="0" distB="0" distL="114300" distR="114300">
            <wp:extent cx="6623050" cy="1750060"/>
            <wp:effectExtent l="0" t="0" r="6350" b="2540"/>
            <wp:docPr id="7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23050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6609715" cy="1855470"/>
            <wp:effectExtent l="0" t="0" r="6985" b="11430"/>
            <wp:docPr id="7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09715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（5）在“综合办理”或“跨省业务”页面，看到缴销栏已显示日期，表示已完成缴销。如图：</w:t>
      </w:r>
    </w:p>
    <w:p>
      <w:pPr>
        <w:pStyle w:val="2"/>
        <w:jc w:val="both"/>
      </w:pPr>
      <w:r>
        <w:drawing>
          <wp:inline distT="0" distB="0" distL="114300" distR="114300">
            <wp:extent cx="6524625" cy="1593850"/>
            <wp:effectExtent l="0" t="0" r="9525" b="6350"/>
            <wp:docPr id="7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6483350" cy="417830"/>
            <wp:effectExtent l="0" t="0" r="12700" b="1270"/>
            <wp:docPr id="7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numPr>
          <w:ilvl w:val="0"/>
          <w:numId w:val="2"/>
        </w:num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网上签署三方协议（</w:t>
      </w:r>
      <w:r>
        <w:rPr>
          <w:rFonts w:hint="eastAsia"/>
          <w:color w:val="FF0000"/>
          <w:sz w:val="28"/>
          <w:szCs w:val="28"/>
        </w:rPr>
        <w:t>此功能只支持跨区域预缴用户使用</w:t>
      </w:r>
      <w:r>
        <w:rPr>
          <w:rFonts w:hint="eastAsia"/>
          <w:b/>
          <w:bCs/>
          <w:sz w:val="32"/>
          <w:szCs w:val="32"/>
        </w:rPr>
        <w:t>）</w:t>
      </w:r>
    </w:p>
    <w:p>
      <w:pPr>
        <w:pStyle w:val="2"/>
        <w:rPr>
          <w:b/>
          <w:bCs/>
          <w:sz w:val="32"/>
          <w:szCs w:val="32"/>
        </w:rPr>
      </w:pPr>
      <w:r>
        <w:rPr>
          <w:rFonts w:hint="eastAsia"/>
          <w:sz w:val="28"/>
          <w:szCs w:val="28"/>
        </w:rPr>
        <w:t>（1）跨区域预缴用户点击左侧功能菜单“网签三方</w:t>
      </w:r>
      <w:r>
        <w:rPr>
          <w:rFonts w:hint="eastAsia"/>
          <w:sz w:val="28"/>
          <w:szCs w:val="28"/>
          <w:lang w:eastAsia="zh-CN"/>
        </w:rPr>
        <w:t>协议</w:t>
      </w:r>
      <w:r>
        <w:rPr>
          <w:rFonts w:hint="eastAsia"/>
          <w:sz w:val="28"/>
          <w:szCs w:val="28"/>
        </w:rPr>
        <w:t>”进入网上签署三方协议页面，可以查看网上办理的历史信息及状态。签订三方协议点击灰色“新办”按键。如图：</w:t>
      </w:r>
    </w:p>
    <w:p>
      <w:pPr>
        <w:pStyle w:val="2"/>
        <w:jc w:val="center"/>
      </w:pPr>
      <w:r>
        <w:drawing>
          <wp:inline distT="0" distB="0" distL="114300" distR="114300">
            <wp:extent cx="6641465" cy="1911985"/>
            <wp:effectExtent l="0" t="0" r="63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根据时间、管理证明编号查询已报验的外经证，点击蓝色“签署三方协议”按键。如图：</w:t>
      </w:r>
    </w:p>
    <w:p>
      <w:pPr>
        <w:pStyle w:val="2"/>
        <w:jc w:val="both"/>
      </w:pPr>
      <w:r>
        <w:drawing>
          <wp:inline distT="0" distB="0" distL="114300" distR="114300">
            <wp:extent cx="6496050" cy="1736725"/>
            <wp:effectExtent l="0" t="0" r="0" b="15875"/>
            <wp:docPr id="7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4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弹出选择银行营业网点窗口，根据实际情况可以选择本市银行营业网点和外省银行营业网点，选择后点击蓝色“确定”按键</w:t>
      </w:r>
      <w:r>
        <w:rPr>
          <w:rFonts w:hint="eastAsia"/>
          <w:sz w:val="28"/>
          <w:szCs w:val="28"/>
        </w:rPr>
        <w:t>。如图：</w:t>
      </w:r>
    </w:p>
    <w:p>
      <w:pPr>
        <w:pStyle w:val="2"/>
        <w:jc w:val="center"/>
      </w:pPr>
      <w:r>
        <w:drawing>
          <wp:inline distT="0" distB="0" distL="114300" distR="114300">
            <wp:extent cx="6014085" cy="2057400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1408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进入银行信息列表后，自行选择银行账户信息，点击蓝色“调用”按键。如图：</w:t>
      </w:r>
    </w:p>
    <w:p>
      <w:pPr>
        <w:pStyle w:val="2"/>
        <w:jc w:val="center"/>
      </w:pPr>
      <w:r>
        <w:drawing>
          <wp:inline distT="0" distB="0" distL="114300" distR="114300">
            <wp:extent cx="6502400" cy="1765935"/>
            <wp:effectExtent l="0" t="0" r="0" b="12065"/>
            <wp:docPr id="1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176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如果缴款账户的银行营业网点存在配置信息，</w:t>
      </w:r>
      <w:r>
        <w:rPr>
          <w:rFonts w:hint="eastAsia"/>
          <w:sz w:val="28"/>
          <w:szCs w:val="28"/>
        </w:rPr>
        <w:t>在三方协议申请页面，核对确认基本信息，并填入经办人身份证号码，点击蓝色“保存”按键，然后点击蓝色“确定”按键，提示“成功”。如图：</w:t>
      </w:r>
    </w:p>
    <w:p>
      <w:pPr>
        <w:pStyle w:val="2"/>
        <w:jc w:val="center"/>
      </w:pPr>
      <w:r>
        <w:drawing>
          <wp:inline distT="0" distB="0" distL="114300" distR="114300">
            <wp:extent cx="6641465" cy="2714625"/>
            <wp:effectExtent l="0" t="0" r="635" b="317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  <w:r>
        <w:drawing>
          <wp:inline distT="0" distB="0" distL="114300" distR="114300">
            <wp:extent cx="6642100" cy="2691130"/>
            <wp:effectExtent l="0" t="0" r="0" b="127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69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如果缴款账户的银行营业网点不存在配置信息，</w:t>
      </w:r>
      <w:r>
        <w:rPr>
          <w:rFonts w:hint="eastAsia"/>
          <w:sz w:val="28"/>
          <w:szCs w:val="28"/>
        </w:rPr>
        <w:t>在三方协议申请页面，</w:t>
      </w:r>
      <w:r>
        <w:rPr>
          <w:rFonts w:hint="eastAsia"/>
          <w:sz w:val="28"/>
          <w:szCs w:val="28"/>
          <w:lang w:val="en-US" w:eastAsia="zh-CN"/>
        </w:rPr>
        <w:t>需选择清算银行行号，手工填写开户银行行号</w:t>
      </w:r>
      <w:r>
        <w:rPr>
          <w:rFonts w:hint="eastAsia"/>
          <w:sz w:val="28"/>
          <w:szCs w:val="28"/>
          <w:lang w:eastAsia="zh-CN"/>
        </w:rPr>
        <w:t>、</w:t>
      </w:r>
      <w:r>
        <w:rPr>
          <w:rFonts w:hint="eastAsia"/>
          <w:sz w:val="28"/>
          <w:szCs w:val="28"/>
        </w:rPr>
        <w:t>经办人身份证号码，</w:t>
      </w:r>
      <w:r>
        <w:rPr>
          <w:rFonts w:hint="eastAsia"/>
          <w:sz w:val="28"/>
          <w:szCs w:val="28"/>
          <w:lang w:val="en-US" w:eastAsia="zh-CN"/>
        </w:rPr>
        <w:t>并</w:t>
      </w:r>
      <w:r>
        <w:rPr>
          <w:rFonts w:hint="eastAsia"/>
          <w:sz w:val="28"/>
          <w:szCs w:val="28"/>
        </w:rPr>
        <w:t>核对确认基本信息</w:t>
      </w:r>
      <w:r>
        <w:rPr>
          <w:rFonts w:hint="eastAsia"/>
          <w:sz w:val="28"/>
          <w:szCs w:val="28"/>
          <w:lang w:val="en-US" w:eastAsia="zh-CN"/>
        </w:rPr>
        <w:t>后，</w:t>
      </w:r>
      <w:r>
        <w:rPr>
          <w:rFonts w:hint="eastAsia"/>
          <w:sz w:val="28"/>
          <w:szCs w:val="28"/>
        </w:rPr>
        <w:t>点击蓝色“保存”按键，然后点击蓝色“确定”按键，提示“成功”。如图：</w:t>
      </w:r>
    </w:p>
    <w:p>
      <w:pPr>
        <w:pStyle w:val="2"/>
        <w:numPr>
          <w:ilvl w:val="0"/>
          <w:numId w:val="0"/>
        </w:numPr>
        <w:jc w:val="center"/>
      </w:pPr>
      <w:r>
        <w:drawing>
          <wp:inline distT="0" distB="0" distL="114300" distR="114300">
            <wp:extent cx="6639560" cy="2272030"/>
            <wp:effectExtent l="0" t="0" r="2540" b="1270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0195" cy="2805430"/>
            <wp:effectExtent l="0" t="0" r="1905" b="127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center"/>
      </w:pPr>
    </w:p>
    <w:p>
      <w:pPr>
        <w:pStyle w:val="2"/>
        <w:numPr>
          <w:ilvl w:val="0"/>
          <w:numId w:val="0"/>
        </w:numPr>
        <w:jc w:val="center"/>
      </w:pPr>
      <w:r>
        <w:drawing>
          <wp:inline distT="0" distB="0" distL="114300" distR="114300">
            <wp:extent cx="6640830" cy="2423160"/>
            <wp:effectExtent l="0" t="0" r="1270" b="254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保存成功后，点击橙色“提交”按键。然后点击蓝色“确定”按键，提示“</w:t>
      </w:r>
      <w:r>
        <w:rPr>
          <w:rFonts w:hint="eastAsia"/>
          <w:sz w:val="28"/>
          <w:szCs w:val="28"/>
          <w:lang w:val="en-US" w:eastAsia="zh-CN"/>
        </w:rPr>
        <w:t>提交</w:t>
      </w:r>
      <w:r>
        <w:rPr>
          <w:rFonts w:hint="eastAsia"/>
          <w:sz w:val="28"/>
          <w:szCs w:val="28"/>
        </w:rPr>
        <w:t>成功”。如图：</w:t>
      </w:r>
    </w:p>
    <w:p>
      <w:pPr>
        <w:pStyle w:val="2"/>
        <w:numPr>
          <w:ilvl w:val="0"/>
          <w:numId w:val="0"/>
        </w:numPr>
        <w:jc w:val="center"/>
        <w:rPr>
          <w:sz w:val="28"/>
          <w:szCs w:val="28"/>
        </w:rPr>
      </w:pPr>
      <w:r>
        <w:drawing>
          <wp:inline distT="0" distB="0" distL="114300" distR="114300">
            <wp:extent cx="6643370" cy="2782570"/>
            <wp:effectExtent l="0" t="0" r="11430" b="11430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  <w:r>
        <w:drawing>
          <wp:inline distT="0" distB="0" distL="114300" distR="114300">
            <wp:extent cx="4425950" cy="2089150"/>
            <wp:effectExtent l="0" t="0" r="6350" b="635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208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2514600"/>
            <wp:effectExtent l="0" t="0" r="0" b="0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</w:pPr>
    </w:p>
    <w:p>
      <w:pPr>
        <w:pStyle w:val="2"/>
        <w:rPr>
          <w:rFonts w:hint="eastAsia"/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注意事项:</w:t>
      </w:r>
    </w:p>
    <w:p>
      <w:pPr>
        <w:pStyle w:val="2"/>
        <w:rPr>
          <w:rFonts w:hint="eastAsia"/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1.提交后信息无法撤回、修改，请确认核对无误后再提交信息；</w:t>
      </w:r>
    </w:p>
    <w:p>
      <w:pPr>
        <w:pStyle w:val="2"/>
        <w:rPr>
          <w:rFonts w:hint="eastAsia"/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2.网签三方无需对报验所属地区每个外经证都申请签署三方协议，在此地区选取其中一个外经证即可。</w:t>
      </w:r>
    </w:p>
    <w:p>
      <w:pPr>
        <w:pStyle w:val="2"/>
        <w:rPr>
          <w:rFonts w:hint="eastAsia"/>
          <w:color w:val="FF0000"/>
          <w:sz w:val="28"/>
          <w:szCs w:val="28"/>
        </w:rPr>
      </w:pPr>
    </w:p>
    <w:p>
      <w:pPr>
        <w:numPr>
          <w:ilvl w:val="0"/>
          <w:numId w:val="2"/>
        </w:numPr>
        <w:rPr>
          <w:rFonts w:hint="eastAsia"/>
          <w:b/>
          <w:bCs/>
          <w:sz w:val="32"/>
          <w:szCs w:val="32"/>
          <w:lang w:eastAsia="zh-CN"/>
        </w:rPr>
      </w:pPr>
      <w:r>
        <w:rPr>
          <w:rFonts w:hint="eastAsia"/>
          <w:b/>
          <w:bCs/>
          <w:sz w:val="32"/>
          <w:szCs w:val="32"/>
          <w:lang w:eastAsia="zh-CN"/>
        </w:rPr>
        <w:t>报告延期：</w:t>
      </w:r>
    </w:p>
    <w:p>
      <w:pPr>
        <w:pStyle w:val="2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  <w:lang w:eastAsia="zh-CN"/>
        </w:rPr>
        <w:t>）点击左侧功能菜单“综合办理”或“报告延期”，可以查询需要办理延期的管理证明编号。如图：</w:t>
      </w:r>
    </w:p>
    <w:p>
      <w:pPr>
        <w:pStyle w:val="2"/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eastAsia="zh-CN"/>
        </w:rPr>
      </w:pPr>
      <w:r>
        <w:drawing>
          <wp:inline distT="0" distB="0" distL="114300" distR="114300">
            <wp:extent cx="6572250" cy="2790190"/>
            <wp:effectExtent l="0" t="0" r="0" b="10160"/>
            <wp:docPr id="8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6605270" cy="2569210"/>
            <wp:effectExtent l="0" t="0" r="5080" b="2540"/>
            <wp:docPr id="8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0527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  <w:lang w:eastAsia="zh-CN"/>
        </w:rPr>
        <w:t>）查询到需要办理延期的管理证明编号，点击蓝字“报告延期”，进入跨区域涉税事项报告延期页面。如图：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6577965" cy="3155950"/>
            <wp:effectExtent l="0" t="0" r="13335" b="6350"/>
            <wp:docPr id="8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577965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</w:t>
      </w:r>
      <w:r>
        <w:rPr>
          <w:rFonts w:hint="eastAsia"/>
          <w:sz w:val="28"/>
          <w:szCs w:val="28"/>
          <w:lang w:eastAsia="zh-CN"/>
        </w:rPr>
        <w:t>）核对页面信息并修改“最新有效期止”时间，确认无误后点击蓝色“提交”按键，提示受理通过。如图：</w:t>
      </w:r>
    </w:p>
    <w:p>
      <w:pPr>
        <w:pStyle w:val="2"/>
      </w:pPr>
      <w:r>
        <w:drawing>
          <wp:inline distT="0" distB="0" distL="114300" distR="114300">
            <wp:extent cx="6541135" cy="3246755"/>
            <wp:effectExtent l="0" t="0" r="12065" b="10795"/>
            <wp:docPr id="8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324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4</w:t>
      </w:r>
      <w:r>
        <w:rPr>
          <w:rFonts w:hint="eastAsia"/>
          <w:sz w:val="28"/>
          <w:szCs w:val="28"/>
          <w:lang w:eastAsia="zh-CN"/>
        </w:rPr>
        <w:t>）点击绿色“打印”按键，可以预览打印延期后的跨区域涉税事项报告表。如图：</w:t>
      </w:r>
    </w:p>
    <w:p>
      <w:pPr>
        <w:pStyle w:val="2"/>
        <w:jc w:val="center"/>
        <w:rPr>
          <w:color w:val="FF0000"/>
          <w:sz w:val="28"/>
          <w:szCs w:val="28"/>
        </w:rPr>
      </w:pPr>
      <w:r>
        <w:drawing>
          <wp:inline distT="0" distB="0" distL="114300" distR="114300">
            <wp:extent cx="5057775" cy="5238750"/>
            <wp:effectExtent l="0" t="0" r="9525" b="0"/>
            <wp:docPr id="8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both"/>
    </w:pPr>
    <w:r>
      <w:rPr>
        <w:rFonts w:hint="eastAsia"/>
      </w:rPr>
      <w:t xml:space="preserve">                                                                                           国家税务总局天津市税务局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078714"/>
    <w:multiLevelType w:val="singleLevel"/>
    <w:tmpl w:val="EA07871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1D766AD6"/>
    <w:multiLevelType w:val="singleLevel"/>
    <w:tmpl w:val="1D766AD6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71D13FA"/>
    <w:multiLevelType w:val="singleLevel"/>
    <w:tmpl w:val="271D13FA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3364CA45"/>
    <w:multiLevelType w:val="singleLevel"/>
    <w:tmpl w:val="3364CA45"/>
    <w:lvl w:ilvl="0" w:tentative="0">
      <w:start w:val="4"/>
      <w:numFmt w:val="decimal"/>
      <w:suff w:val="nothing"/>
      <w:lvlText w:val="（%1）"/>
      <w:lvlJc w:val="left"/>
    </w:lvl>
  </w:abstractNum>
  <w:abstractNum w:abstractNumId="4">
    <w:nsid w:val="6E297D47"/>
    <w:multiLevelType w:val="singleLevel"/>
    <w:tmpl w:val="6E297D47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71FA6"/>
    <w:rsid w:val="00112D94"/>
    <w:rsid w:val="00114E0A"/>
    <w:rsid w:val="001513B3"/>
    <w:rsid w:val="00242F20"/>
    <w:rsid w:val="00294759"/>
    <w:rsid w:val="00441436"/>
    <w:rsid w:val="00471FA6"/>
    <w:rsid w:val="00534EE1"/>
    <w:rsid w:val="00570851"/>
    <w:rsid w:val="00583DD4"/>
    <w:rsid w:val="005A71D3"/>
    <w:rsid w:val="00727E02"/>
    <w:rsid w:val="007B3A57"/>
    <w:rsid w:val="007D21AA"/>
    <w:rsid w:val="007F6B12"/>
    <w:rsid w:val="00857718"/>
    <w:rsid w:val="009D51D6"/>
    <w:rsid w:val="009F2A0A"/>
    <w:rsid w:val="00A778E4"/>
    <w:rsid w:val="00AD7084"/>
    <w:rsid w:val="00AD73C3"/>
    <w:rsid w:val="00E778FD"/>
    <w:rsid w:val="00F02356"/>
    <w:rsid w:val="00F04D56"/>
    <w:rsid w:val="017E4AFF"/>
    <w:rsid w:val="01E95C1D"/>
    <w:rsid w:val="02057DED"/>
    <w:rsid w:val="021363C2"/>
    <w:rsid w:val="04444375"/>
    <w:rsid w:val="05276134"/>
    <w:rsid w:val="0602616F"/>
    <w:rsid w:val="061B6017"/>
    <w:rsid w:val="065D7DDE"/>
    <w:rsid w:val="06C24F47"/>
    <w:rsid w:val="07101E86"/>
    <w:rsid w:val="078E5A33"/>
    <w:rsid w:val="07EB5DDA"/>
    <w:rsid w:val="087263D1"/>
    <w:rsid w:val="08E074F0"/>
    <w:rsid w:val="09384BE8"/>
    <w:rsid w:val="09547905"/>
    <w:rsid w:val="0A0A13F0"/>
    <w:rsid w:val="0A8D53CE"/>
    <w:rsid w:val="0A9C0B7A"/>
    <w:rsid w:val="0AC623CD"/>
    <w:rsid w:val="0AF53D97"/>
    <w:rsid w:val="0D0B6443"/>
    <w:rsid w:val="0E171104"/>
    <w:rsid w:val="0E543D94"/>
    <w:rsid w:val="0ED51E06"/>
    <w:rsid w:val="0F2B1D78"/>
    <w:rsid w:val="0F4C40F2"/>
    <w:rsid w:val="0FC266A8"/>
    <w:rsid w:val="0FDE7A30"/>
    <w:rsid w:val="106E26DC"/>
    <w:rsid w:val="12661112"/>
    <w:rsid w:val="12897163"/>
    <w:rsid w:val="12AF3924"/>
    <w:rsid w:val="133262B9"/>
    <w:rsid w:val="13B91720"/>
    <w:rsid w:val="14077191"/>
    <w:rsid w:val="140C238F"/>
    <w:rsid w:val="14867C51"/>
    <w:rsid w:val="148D44DB"/>
    <w:rsid w:val="149E70AA"/>
    <w:rsid w:val="14B3477F"/>
    <w:rsid w:val="14C00A0C"/>
    <w:rsid w:val="14D73F87"/>
    <w:rsid w:val="150D1D7B"/>
    <w:rsid w:val="152B4A25"/>
    <w:rsid w:val="15C31C2E"/>
    <w:rsid w:val="15D9579E"/>
    <w:rsid w:val="167B5190"/>
    <w:rsid w:val="16FA6969"/>
    <w:rsid w:val="175E2734"/>
    <w:rsid w:val="17D82913"/>
    <w:rsid w:val="17DE5944"/>
    <w:rsid w:val="181C2EA8"/>
    <w:rsid w:val="187168AC"/>
    <w:rsid w:val="18BC5E2C"/>
    <w:rsid w:val="1910250B"/>
    <w:rsid w:val="19E52561"/>
    <w:rsid w:val="1A4A1352"/>
    <w:rsid w:val="1A891F8A"/>
    <w:rsid w:val="1A9747C6"/>
    <w:rsid w:val="1AC43672"/>
    <w:rsid w:val="1AEE736F"/>
    <w:rsid w:val="1B042964"/>
    <w:rsid w:val="1B214463"/>
    <w:rsid w:val="1C003084"/>
    <w:rsid w:val="1C655C7E"/>
    <w:rsid w:val="1E325908"/>
    <w:rsid w:val="1EAB7F52"/>
    <w:rsid w:val="1EFF7602"/>
    <w:rsid w:val="1F3E587C"/>
    <w:rsid w:val="1F513876"/>
    <w:rsid w:val="1F7F415E"/>
    <w:rsid w:val="1F8743B1"/>
    <w:rsid w:val="1FEA2360"/>
    <w:rsid w:val="200D0497"/>
    <w:rsid w:val="208974F2"/>
    <w:rsid w:val="20D11393"/>
    <w:rsid w:val="215430FD"/>
    <w:rsid w:val="2193145A"/>
    <w:rsid w:val="21A95743"/>
    <w:rsid w:val="21F82158"/>
    <w:rsid w:val="224D1908"/>
    <w:rsid w:val="22FE1C97"/>
    <w:rsid w:val="23106BB1"/>
    <w:rsid w:val="23471B14"/>
    <w:rsid w:val="238D00E3"/>
    <w:rsid w:val="245E3F00"/>
    <w:rsid w:val="24975B5E"/>
    <w:rsid w:val="25A81938"/>
    <w:rsid w:val="27412CDC"/>
    <w:rsid w:val="2794097D"/>
    <w:rsid w:val="27983E78"/>
    <w:rsid w:val="28132929"/>
    <w:rsid w:val="28251485"/>
    <w:rsid w:val="283C5F01"/>
    <w:rsid w:val="28A74807"/>
    <w:rsid w:val="29012119"/>
    <w:rsid w:val="2965640A"/>
    <w:rsid w:val="2A221FE4"/>
    <w:rsid w:val="2ADC045A"/>
    <w:rsid w:val="2AEB3EFD"/>
    <w:rsid w:val="2B0B5BF7"/>
    <w:rsid w:val="2B9E469E"/>
    <w:rsid w:val="2C170121"/>
    <w:rsid w:val="2C1E6A4C"/>
    <w:rsid w:val="2C7C1B5E"/>
    <w:rsid w:val="2D2A7894"/>
    <w:rsid w:val="2DAE533A"/>
    <w:rsid w:val="2E746F23"/>
    <w:rsid w:val="2EF53D92"/>
    <w:rsid w:val="2F8E1B1B"/>
    <w:rsid w:val="2FA72484"/>
    <w:rsid w:val="3028323F"/>
    <w:rsid w:val="31075518"/>
    <w:rsid w:val="31350F9F"/>
    <w:rsid w:val="318E07F0"/>
    <w:rsid w:val="320254AD"/>
    <w:rsid w:val="327F2402"/>
    <w:rsid w:val="333632B2"/>
    <w:rsid w:val="335C0D00"/>
    <w:rsid w:val="33E21881"/>
    <w:rsid w:val="3459297C"/>
    <w:rsid w:val="346A422C"/>
    <w:rsid w:val="34A55B68"/>
    <w:rsid w:val="34C16E63"/>
    <w:rsid w:val="34F20F9D"/>
    <w:rsid w:val="358D34B0"/>
    <w:rsid w:val="35C512B9"/>
    <w:rsid w:val="36510C3E"/>
    <w:rsid w:val="36796E04"/>
    <w:rsid w:val="36D9546C"/>
    <w:rsid w:val="36E3486F"/>
    <w:rsid w:val="373739F3"/>
    <w:rsid w:val="37777BED"/>
    <w:rsid w:val="38141F47"/>
    <w:rsid w:val="387071BF"/>
    <w:rsid w:val="39167D79"/>
    <w:rsid w:val="3B2A2F91"/>
    <w:rsid w:val="3B7C4583"/>
    <w:rsid w:val="3BCA329B"/>
    <w:rsid w:val="3C08182E"/>
    <w:rsid w:val="3C286A32"/>
    <w:rsid w:val="3C961B56"/>
    <w:rsid w:val="3CA13942"/>
    <w:rsid w:val="3D1E5F02"/>
    <w:rsid w:val="3D521721"/>
    <w:rsid w:val="3D634ABA"/>
    <w:rsid w:val="3DBF4679"/>
    <w:rsid w:val="3E2475E7"/>
    <w:rsid w:val="3E773312"/>
    <w:rsid w:val="3F2C1450"/>
    <w:rsid w:val="3F3663AA"/>
    <w:rsid w:val="3F5F3CDC"/>
    <w:rsid w:val="3F624A53"/>
    <w:rsid w:val="3F7724C6"/>
    <w:rsid w:val="3FEB0812"/>
    <w:rsid w:val="40460130"/>
    <w:rsid w:val="405761EF"/>
    <w:rsid w:val="4081471F"/>
    <w:rsid w:val="41270323"/>
    <w:rsid w:val="41C14DF4"/>
    <w:rsid w:val="42111E6C"/>
    <w:rsid w:val="42677318"/>
    <w:rsid w:val="42954802"/>
    <w:rsid w:val="44E81068"/>
    <w:rsid w:val="463768EE"/>
    <w:rsid w:val="46657137"/>
    <w:rsid w:val="46865BF5"/>
    <w:rsid w:val="46A84B4C"/>
    <w:rsid w:val="46A93A71"/>
    <w:rsid w:val="46B750E2"/>
    <w:rsid w:val="4708723D"/>
    <w:rsid w:val="473B6E35"/>
    <w:rsid w:val="479C692A"/>
    <w:rsid w:val="48FA3341"/>
    <w:rsid w:val="4ADD6725"/>
    <w:rsid w:val="4B003446"/>
    <w:rsid w:val="4B2C08D9"/>
    <w:rsid w:val="4B7A123C"/>
    <w:rsid w:val="4BB60201"/>
    <w:rsid w:val="4C52034D"/>
    <w:rsid w:val="4C6A5454"/>
    <w:rsid w:val="4CA925E3"/>
    <w:rsid w:val="4CD33B7C"/>
    <w:rsid w:val="4DD0640A"/>
    <w:rsid w:val="4DFD0B3D"/>
    <w:rsid w:val="4E95561B"/>
    <w:rsid w:val="4F3E19E7"/>
    <w:rsid w:val="4F41450B"/>
    <w:rsid w:val="4F4B2CE1"/>
    <w:rsid w:val="4F517B7E"/>
    <w:rsid w:val="4F71213A"/>
    <w:rsid w:val="50424471"/>
    <w:rsid w:val="506E3719"/>
    <w:rsid w:val="50F17E16"/>
    <w:rsid w:val="50F3682E"/>
    <w:rsid w:val="511013CE"/>
    <w:rsid w:val="51881E91"/>
    <w:rsid w:val="51925951"/>
    <w:rsid w:val="51CD67DF"/>
    <w:rsid w:val="522D7141"/>
    <w:rsid w:val="52AF45C5"/>
    <w:rsid w:val="5349674C"/>
    <w:rsid w:val="538F2DB2"/>
    <w:rsid w:val="54AE6DE9"/>
    <w:rsid w:val="54AF7164"/>
    <w:rsid w:val="54B53D5C"/>
    <w:rsid w:val="54F717C6"/>
    <w:rsid w:val="55BA62CA"/>
    <w:rsid w:val="56063D2F"/>
    <w:rsid w:val="56313089"/>
    <w:rsid w:val="56A139EE"/>
    <w:rsid w:val="57056C14"/>
    <w:rsid w:val="572E7080"/>
    <w:rsid w:val="580F68CC"/>
    <w:rsid w:val="586E7908"/>
    <w:rsid w:val="58E144BA"/>
    <w:rsid w:val="58FE35CB"/>
    <w:rsid w:val="590E0175"/>
    <w:rsid w:val="591749F7"/>
    <w:rsid w:val="594339D3"/>
    <w:rsid w:val="59675B45"/>
    <w:rsid w:val="59E80CC2"/>
    <w:rsid w:val="5A09411F"/>
    <w:rsid w:val="5B47051B"/>
    <w:rsid w:val="5B8805AB"/>
    <w:rsid w:val="5BB03F4A"/>
    <w:rsid w:val="5C10362C"/>
    <w:rsid w:val="5C901208"/>
    <w:rsid w:val="5CC05E0A"/>
    <w:rsid w:val="5DB31B2F"/>
    <w:rsid w:val="5E775D30"/>
    <w:rsid w:val="5E940249"/>
    <w:rsid w:val="5EB20E19"/>
    <w:rsid w:val="5EE3680C"/>
    <w:rsid w:val="5FAB3244"/>
    <w:rsid w:val="60B50B86"/>
    <w:rsid w:val="614F04D4"/>
    <w:rsid w:val="618F0B22"/>
    <w:rsid w:val="61C5143B"/>
    <w:rsid w:val="621519DC"/>
    <w:rsid w:val="6247221C"/>
    <w:rsid w:val="625A46F3"/>
    <w:rsid w:val="62C273B1"/>
    <w:rsid w:val="63154571"/>
    <w:rsid w:val="6440164D"/>
    <w:rsid w:val="64BF0522"/>
    <w:rsid w:val="64C1508F"/>
    <w:rsid w:val="6526706B"/>
    <w:rsid w:val="65716544"/>
    <w:rsid w:val="659159FD"/>
    <w:rsid w:val="65F36E35"/>
    <w:rsid w:val="665B5327"/>
    <w:rsid w:val="66792F6E"/>
    <w:rsid w:val="66983481"/>
    <w:rsid w:val="672629CF"/>
    <w:rsid w:val="674440E8"/>
    <w:rsid w:val="67747A73"/>
    <w:rsid w:val="67CD54E6"/>
    <w:rsid w:val="699D05FC"/>
    <w:rsid w:val="6A885A74"/>
    <w:rsid w:val="6AC35648"/>
    <w:rsid w:val="6AE90B66"/>
    <w:rsid w:val="6C3F61AD"/>
    <w:rsid w:val="6C4F35EC"/>
    <w:rsid w:val="6CCC3253"/>
    <w:rsid w:val="6D2C5BF4"/>
    <w:rsid w:val="6E4E2BE3"/>
    <w:rsid w:val="6E513F3B"/>
    <w:rsid w:val="6F046BB0"/>
    <w:rsid w:val="6FAC2B27"/>
    <w:rsid w:val="6FB76BC0"/>
    <w:rsid w:val="70FE19D5"/>
    <w:rsid w:val="71060AC6"/>
    <w:rsid w:val="71D7518A"/>
    <w:rsid w:val="71EE254A"/>
    <w:rsid w:val="720279B7"/>
    <w:rsid w:val="7262623F"/>
    <w:rsid w:val="726F030C"/>
    <w:rsid w:val="735162B9"/>
    <w:rsid w:val="735167F8"/>
    <w:rsid w:val="73760C02"/>
    <w:rsid w:val="74F2425E"/>
    <w:rsid w:val="754335F2"/>
    <w:rsid w:val="75BC133C"/>
    <w:rsid w:val="75D626D8"/>
    <w:rsid w:val="76E80D17"/>
    <w:rsid w:val="777179D7"/>
    <w:rsid w:val="78CF58F7"/>
    <w:rsid w:val="79D621C6"/>
    <w:rsid w:val="7A320938"/>
    <w:rsid w:val="7A3E58FC"/>
    <w:rsid w:val="7A52360B"/>
    <w:rsid w:val="7A575AD2"/>
    <w:rsid w:val="7A6E7EA6"/>
    <w:rsid w:val="7A7A75AC"/>
    <w:rsid w:val="7AC37BA5"/>
    <w:rsid w:val="7B053023"/>
    <w:rsid w:val="7B1A109B"/>
    <w:rsid w:val="7BB50D3C"/>
    <w:rsid w:val="7DE9141D"/>
    <w:rsid w:val="7E1E75BA"/>
    <w:rsid w:val="7E284323"/>
    <w:rsid w:val="7E382E06"/>
    <w:rsid w:val="7E500372"/>
    <w:rsid w:val="7E925279"/>
    <w:rsid w:val="7FC71BB2"/>
    <w:rsid w:val="7FD0460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unhideWhenUsed/>
    <w:qFormat/>
    <w:uiPriority w:val="99"/>
    <w:pPr>
      <w:spacing w:after="120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4"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9" Type="http://schemas.openxmlformats.org/officeDocument/2006/relationships/fontTable" Target="fontTable.xml"/><Relationship Id="rId78" Type="http://schemas.openxmlformats.org/officeDocument/2006/relationships/numbering" Target="numbering.xml"/><Relationship Id="rId77" Type="http://schemas.openxmlformats.org/officeDocument/2006/relationships/customXml" Target="../customXml/item1.xml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20</Pages>
  <Words>2257</Words>
  <Characters>165</Characters>
  <Lines>1</Lines>
  <Paragraphs>4</Paragraphs>
  <TotalTime>13</TotalTime>
  <ScaleCrop>false</ScaleCrop>
  <LinksUpToDate>false</LinksUpToDate>
  <CharactersWithSpaces>2418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2018-09-14T08:14:00Z</dcterms:created>
  <dc:creator>刘 智</dc:creator>
  <cp:lastModifiedBy>wangchao</cp:lastModifiedBy>
  <dcterms:modified xsi:type="dcterms:W3CDTF">2021-11-30T01:53:56Z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C8F6C491BB3A4D319BE825824896F8C7</vt:lpwstr>
  </property>
</Properties>
</file>